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pPr>
      <w:r>
        <w:rPr>
          <w:rtl w:val="0"/>
          <w:lang w:val="de-DE"/>
        </w:rPr>
        <w:t>EN</w:t>
      </w:r>
      <w:r>
        <w:rPr>
          <w:rtl w:val="0"/>
          <w:lang w:val="en-US"/>
        </w:rPr>
        <w:t>G 4936</w:t>
      </w:r>
      <w:r>
        <w:rPr>
          <w:rtl w:val="0"/>
          <w:lang w:val="de-DE"/>
        </w:rPr>
        <w:tab/>
        <w:tab/>
        <w:tab/>
        <w:tab/>
        <w:tab/>
        <w:tab/>
        <w:tab/>
        <w:tab/>
        <w:t xml:space="preserve">         Prof. Rudnytsky</w:t>
      </w:r>
    </w:p>
    <w:p>
      <w:pPr>
        <w:pStyle w:val="Body A"/>
        <w:rPr>
          <w:rStyle w:val="None A"/>
        </w:rPr>
      </w:pPr>
      <w:r>
        <w:rPr>
          <w:rStyle w:val="Hyperlink.0"/>
        </w:rPr>
        <w:fldChar w:fldCharType="begin" w:fldLock="0"/>
      </w:r>
      <w:r>
        <w:rPr>
          <w:rStyle w:val="Hyperlink.0"/>
        </w:rPr>
        <w:instrText xml:space="preserve"> HYPERLINK "mailto:plr@ufl.edu"</w:instrText>
      </w:r>
      <w:r>
        <w:rPr>
          <w:rStyle w:val="Hyperlink.0"/>
        </w:rPr>
        <w:fldChar w:fldCharType="separate" w:fldLock="0"/>
      </w:r>
      <w:r>
        <w:rPr>
          <w:rStyle w:val="Hyperlink.0"/>
          <w:rtl w:val="0"/>
        </w:rPr>
        <w:t>plr@ufl.edu</w:t>
      </w:r>
      <w:r>
        <w:rPr/>
        <w:fldChar w:fldCharType="end" w:fldLock="0"/>
      </w:r>
      <w:r>
        <w:rPr>
          <w:rStyle w:val="None A"/>
          <w:rtl w:val="0"/>
        </w:rPr>
        <w:t xml:space="preserve">   </w:t>
        <w:tab/>
        <w:tab/>
        <w:tab/>
        <w:tab/>
        <w:tab/>
        <w:tab/>
        <w:tab/>
        <w:tab/>
        <w:tab/>
        <w:t xml:space="preserve">       4366 TUR</w:t>
      </w:r>
    </w:p>
    <w:p>
      <w:pPr>
        <w:pStyle w:val="Body A"/>
        <w:jc w:val="right"/>
        <w:rPr>
          <w:rStyle w:val="None A"/>
        </w:rPr>
      </w:pPr>
      <w:r>
        <w:rPr>
          <w:rStyle w:val="None"/>
          <w:rtl w:val="0"/>
          <w:lang w:val="en-US"/>
        </w:rPr>
        <w:t>F</w:t>
      </w:r>
      <w:r>
        <w:rPr>
          <w:rStyle w:val="None"/>
          <w:rtl w:val="0"/>
          <w:lang w:val="de-DE"/>
        </w:rPr>
        <w:t xml:space="preserve"> </w:t>
      </w:r>
      <w:r>
        <w:rPr>
          <w:rStyle w:val="None"/>
          <w:rtl w:val="0"/>
          <w:lang w:val="en-US"/>
        </w:rPr>
        <w:t>4:00</w:t>
      </w:r>
      <w:r>
        <w:rPr>
          <w:rStyle w:val="None"/>
          <w:rtl w:val="0"/>
          <w:lang w:val="ru-RU"/>
        </w:rPr>
        <w:t>-4:</w:t>
      </w:r>
      <w:r>
        <w:rPr>
          <w:rStyle w:val="None"/>
          <w:rtl w:val="0"/>
          <w:lang w:val="en-US"/>
        </w:rPr>
        <w:t>45</w:t>
      </w:r>
      <w:r>
        <w:rPr>
          <w:rStyle w:val="None"/>
          <w:rtl w:val="0"/>
          <w:lang w:val="de-DE"/>
        </w:rPr>
        <w:t xml:space="preserve"> p</w:t>
      </w:r>
      <w:r>
        <w:rPr>
          <w:rStyle w:val="None"/>
          <w:rtl w:val="0"/>
          <w:lang w:val="en-US"/>
        </w:rPr>
        <w:t>.</w:t>
      </w:r>
      <w:r>
        <w:rPr>
          <w:rStyle w:val="None"/>
          <w:rtl w:val="0"/>
          <w:lang w:val="de-DE"/>
        </w:rPr>
        <w:t>m</w:t>
      </w:r>
      <w:r>
        <w:rPr>
          <w:rStyle w:val="None"/>
          <w:rtl w:val="0"/>
          <w:lang w:val="en-US"/>
        </w:rPr>
        <w:t>., and by appt.</w:t>
      </w:r>
    </w:p>
    <w:p>
      <w:pPr>
        <w:pStyle w:val="Body A"/>
        <w:jc w:val="center"/>
        <w:rPr>
          <w:rStyle w:val="None A"/>
          <w:lang w:val="en-US"/>
        </w:rPr>
      </w:pPr>
    </w:p>
    <w:p>
      <w:pPr>
        <w:pStyle w:val="Body A"/>
        <w:jc w:val="center"/>
        <w:rPr>
          <w:rStyle w:val="None"/>
          <w:lang w:val="en-US"/>
        </w:rPr>
      </w:pPr>
      <w:r>
        <w:rPr>
          <w:rStyle w:val="None"/>
          <w:rtl w:val="0"/>
          <w:lang w:val="en-US"/>
        </w:rPr>
        <w:t>Renaissance Humanism</w:t>
      </w:r>
    </w:p>
    <w:p>
      <w:pPr>
        <w:pStyle w:val="Body A"/>
        <w:jc w:val="both"/>
        <w:rPr>
          <w:rStyle w:val="None A"/>
        </w:rPr>
      </w:pPr>
    </w:p>
    <w:p>
      <w:pPr>
        <w:pStyle w:val="Body A"/>
        <w:jc w:val="both"/>
        <w:rPr>
          <w:rStyle w:val="None A"/>
        </w:rPr>
      </w:pPr>
      <w:r>
        <w:rPr>
          <w:rStyle w:val="None"/>
          <w:rtl w:val="0"/>
          <w:lang w:val="en-US"/>
        </w:rPr>
        <w:t xml:space="preserve">Mon. </w:t>
      </w:r>
      <w:r>
        <w:rPr>
          <w:rStyle w:val="None"/>
          <w:rtl w:val="0"/>
          <w:lang w:val="de-DE"/>
        </w:rPr>
        <w:t xml:space="preserve">Jan. </w:t>
      </w:r>
      <w:r>
        <w:rPr>
          <w:rStyle w:val="None"/>
          <w:rtl w:val="0"/>
          <w:lang w:val="en-US"/>
        </w:rPr>
        <w:t>12</w:t>
      </w:r>
      <w:r>
        <w:rPr>
          <w:rStyle w:val="None"/>
          <w:rtl w:val="0"/>
          <w:lang w:val="de-DE"/>
        </w:rPr>
        <w:t xml:space="preserve"> –</w:t>
      </w:r>
      <w:r>
        <w:rPr>
          <w:rStyle w:val="None"/>
          <w:rtl w:val="0"/>
          <w:lang w:val="en-US"/>
        </w:rPr>
        <w:t xml:space="preserve"> Fromm, </w:t>
      </w:r>
      <w:r>
        <w:rPr>
          <w:rStyle w:val="None"/>
          <w:rtl w:val="0"/>
          <w:lang w:val="en-US"/>
        </w:rPr>
        <w:t>“</w:t>
      </w:r>
      <w:r>
        <w:rPr>
          <w:rStyle w:val="None"/>
          <w:rtl w:val="0"/>
          <w:lang w:val="en-US"/>
        </w:rPr>
        <w:t>Humanism and Psychoanalysis</w:t>
      </w:r>
      <w:r>
        <w:rPr>
          <w:rStyle w:val="None"/>
          <w:rtl w:val="0"/>
          <w:lang w:val="en-US"/>
        </w:rPr>
        <w:t xml:space="preserve">” </w:t>
      </w:r>
      <w:r>
        <w:rPr>
          <w:rStyle w:val="None"/>
          <w:rtl w:val="0"/>
          <w:lang w:val="en-US"/>
        </w:rPr>
        <w:t>(</w:t>
      </w:r>
      <w:r>
        <w:rPr>
          <w:rStyle w:val="None"/>
          <w:rtl w:val="0"/>
          <w:lang w:val="en-US"/>
        </w:rPr>
        <w:t>email</w:t>
      </w:r>
      <w:r>
        <w:rPr>
          <w:rStyle w:val="None"/>
          <w:rtl w:val="0"/>
          <w:lang w:val="en-US"/>
        </w:rPr>
        <w:t>)</w:t>
      </w:r>
    </w:p>
    <w:p>
      <w:pPr>
        <w:pStyle w:val="Body A"/>
        <w:ind w:left="720" w:hanging="720"/>
        <w:jc w:val="both"/>
        <w:rPr>
          <w:rStyle w:val="None"/>
          <w:i w:val="1"/>
          <w:iCs w:val="1"/>
        </w:rPr>
      </w:pPr>
      <w:r>
        <w:rPr>
          <w:rStyle w:val="None"/>
          <w:rtl w:val="0"/>
          <w:lang w:val="en-US"/>
        </w:rPr>
        <w:t xml:space="preserve">Wed. </w:t>
      </w:r>
      <w:r>
        <w:rPr>
          <w:rStyle w:val="None"/>
          <w:rtl w:val="0"/>
          <w:lang w:val="de-DE"/>
        </w:rPr>
        <w:t xml:space="preserve">Jan. </w:t>
      </w:r>
      <w:r>
        <w:rPr>
          <w:rStyle w:val="None"/>
          <w:rtl w:val="0"/>
          <w:lang w:val="en-US"/>
        </w:rPr>
        <w:t>14</w:t>
      </w:r>
      <w:r>
        <w:rPr>
          <w:rStyle w:val="None"/>
          <w:rtl w:val="0"/>
          <w:lang w:val="de-DE"/>
        </w:rPr>
        <w:t xml:space="preserve"> –</w:t>
      </w:r>
      <w:r>
        <w:rPr>
          <w:rStyle w:val="None"/>
          <w:rtl w:val="0"/>
          <w:lang w:val="en-US"/>
        </w:rPr>
        <w:t xml:space="preserve"> </w:t>
      </w:r>
      <w:r>
        <w:rPr>
          <w:rStyle w:val="None"/>
          <w:rtl w:val="0"/>
          <w:lang w:val="en-US"/>
        </w:rPr>
        <w:t xml:space="preserve">Pico della Mirandola, </w:t>
      </w:r>
      <w:r>
        <w:rPr>
          <w:rStyle w:val="None"/>
          <w:rtl w:val="0"/>
          <w:lang w:val="en-US"/>
        </w:rPr>
        <w:t>“</w:t>
      </w:r>
      <w:r>
        <w:rPr>
          <w:rStyle w:val="None"/>
          <w:rtl w:val="0"/>
          <w:lang w:val="en-US"/>
        </w:rPr>
        <w:t>Oration on the Dignity of Man</w:t>
      </w:r>
      <w:r>
        <w:rPr>
          <w:rStyle w:val="None"/>
          <w:rtl w:val="0"/>
          <w:lang w:val="en-US"/>
        </w:rPr>
        <w:t>,</w:t>
      </w:r>
      <w:r>
        <w:rPr>
          <w:rStyle w:val="None"/>
          <w:rtl w:val="0"/>
          <w:lang w:val="en-US"/>
        </w:rPr>
        <w:t>”</w:t>
      </w:r>
      <w:r>
        <w:rPr>
          <w:rStyle w:val="None"/>
          <w:rtl w:val="0"/>
          <w:lang w:val="en-US"/>
        </w:rPr>
        <w:t xml:space="preserve"> pp. 223-238 </w:t>
      </w:r>
      <w:r>
        <w:rPr>
          <w:rStyle w:val="None"/>
          <w:rtl w:val="0"/>
          <w:lang w:val="en-US"/>
        </w:rPr>
        <w:t>(</w:t>
      </w:r>
      <w:r>
        <w:rPr>
          <w:rStyle w:val="None"/>
          <w:rtl w:val="0"/>
          <w:lang w:val="en-US"/>
        </w:rPr>
        <w:t>email</w:t>
      </w:r>
      <w:r>
        <w:rPr>
          <w:rStyle w:val="None"/>
          <w:rtl w:val="0"/>
          <w:lang w:val="en-US"/>
        </w:rPr>
        <w:t>)</w:t>
      </w:r>
    </w:p>
    <w:p>
      <w:pPr>
        <w:pStyle w:val="Body A"/>
        <w:jc w:val="both"/>
        <w:rPr>
          <w:rStyle w:val="None A"/>
        </w:rPr>
      </w:pPr>
      <w:r>
        <w:rPr>
          <w:rStyle w:val="None"/>
          <w:rtl w:val="0"/>
          <w:lang w:val="en-US"/>
        </w:rPr>
        <w:t xml:space="preserve">Fri. </w:t>
      </w:r>
      <w:r>
        <w:rPr>
          <w:rStyle w:val="None"/>
          <w:rtl w:val="0"/>
          <w:lang w:val="de-DE"/>
        </w:rPr>
        <w:t xml:space="preserve">Jan. </w:t>
      </w:r>
      <w:r>
        <w:rPr>
          <w:rStyle w:val="None"/>
          <w:rtl w:val="0"/>
          <w:lang w:val="en-US"/>
        </w:rPr>
        <w:t>16</w:t>
      </w:r>
      <w:r>
        <w:rPr>
          <w:rStyle w:val="None"/>
          <w:rtl w:val="0"/>
          <w:lang w:val="de-DE"/>
        </w:rPr>
        <w:t xml:space="preserve"> –</w:t>
      </w:r>
      <w:r>
        <w:rPr>
          <w:rStyle w:val="None"/>
          <w:rtl w:val="0"/>
          <w:lang w:val="en-US"/>
        </w:rPr>
        <w:t xml:space="preserve"> Pico della Mirandola, </w:t>
      </w:r>
      <w:r>
        <w:rPr>
          <w:rStyle w:val="None"/>
          <w:rtl w:val="0"/>
          <w:lang w:val="en-US"/>
        </w:rPr>
        <w:t>“</w:t>
      </w:r>
      <w:r>
        <w:rPr>
          <w:rStyle w:val="None"/>
          <w:rtl w:val="0"/>
          <w:lang w:val="en-US"/>
        </w:rPr>
        <w:t>Oration on the Dignity of Man</w:t>
      </w:r>
      <w:r>
        <w:rPr>
          <w:rStyle w:val="None"/>
          <w:rtl w:val="0"/>
          <w:lang w:val="en-US"/>
        </w:rPr>
        <w:t>,</w:t>
      </w:r>
      <w:r>
        <w:rPr>
          <w:rStyle w:val="None"/>
          <w:rtl w:val="0"/>
          <w:lang w:val="en-US"/>
        </w:rPr>
        <w:t xml:space="preserve">” </w:t>
      </w:r>
      <w:r>
        <w:rPr>
          <w:rStyle w:val="None"/>
          <w:rtl w:val="0"/>
          <w:lang w:val="en-US"/>
        </w:rPr>
        <w:t>pp. 239-254</w:t>
      </w:r>
    </w:p>
    <w:p>
      <w:pPr>
        <w:pStyle w:val="Body A"/>
        <w:jc w:val="both"/>
        <w:rPr>
          <w:lang w:val="en-US"/>
        </w:rPr>
      </w:pPr>
      <w:r>
        <w:rPr>
          <w:rStyle w:val="None"/>
          <w:rtl w:val="0"/>
          <w:lang w:val="en-US"/>
        </w:rPr>
        <w:t xml:space="preserve">Mon. Jan. 19 </w:t>
      </w:r>
      <w:r>
        <w:rPr>
          <w:rStyle w:val="None"/>
          <w:rtl w:val="0"/>
          <w:lang w:val="en-US"/>
        </w:rPr>
        <w:t xml:space="preserve">– </w:t>
      </w:r>
      <w:r>
        <w:rPr>
          <w:rStyle w:val="None"/>
          <w:rtl w:val="0"/>
          <w:lang w:val="en-US"/>
        </w:rPr>
        <w:t>MLK</w:t>
      </w:r>
    </w:p>
    <w:p>
      <w:pPr>
        <w:pStyle w:val="Body A"/>
        <w:jc w:val="both"/>
        <w:rPr>
          <w:rStyle w:val="None A"/>
          <w:lang w:val="en-US"/>
        </w:rPr>
      </w:pPr>
      <w:r>
        <w:rPr>
          <w:rStyle w:val="None"/>
          <w:rtl w:val="0"/>
          <w:lang w:val="en-US"/>
        </w:rPr>
        <w:t xml:space="preserve">Wed. Jan. 21 - Erasmus, </w:t>
      </w:r>
      <w:r>
        <w:rPr>
          <w:rStyle w:val="None"/>
          <w:i w:val="1"/>
          <w:iCs w:val="1"/>
          <w:rtl w:val="0"/>
          <w:lang w:val="en-US"/>
        </w:rPr>
        <w:t>Praise of Folly</w:t>
      </w:r>
      <w:r>
        <w:rPr>
          <w:rStyle w:val="None"/>
          <w:rtl w:val="0"/>
          <w:lang w:val="en-US"/>
        </w:rPr>
        <w:t>, pp. 1-76</w:t>
      </w:r>
    </w:p>
    <w:p>
      <w:pPr>
        <w:pStyle w:val="Body A"/>
        <w:jc w:val="both"/>
        <w:rPr>
          <w:rStyle w:val="None A"/>
        </w:rPr>
      </w:pPr>
      <w:r>
        <w:rPr>
          <w:rStyle w:val="None"/>
          <w:rtl w:val="0"/>
          <w:lang w:val="en-US"/>
        </w:rPr>
        <w:t>Fri. Jan. 23</w:t>
      </w:r>
      <w:r>
        <w:rPr>
          <w:rStyle w:val="None"/>
          <w:rtl w:val="0"/>
          <w:lang w:val="de-DE"/>
        </w:rPr>
        <w:t xml:space="preserve"> –</w:t>
      </w:r>
      <w:r>
        <w:rPr>
          <w:rStyle w:val="None"/>
          <w:rtl w:val="0"/>
          <w:lang w:val="en-US"/>
        </w:rPr>
        <w:t xml:space="preserve"> Erasmus, </w:t>
      </w:r>
      <w:r>
        <w:rPr>
          <w:rStyle w:val="None"/>
          <w:i w:val="1"/>
          <w:iCs w:val="1"/>
          <w:rtl w:val="0"/>
          <w:lang w:val="en-US"/>
        </w:rPr>
        <w:t>Praise of Folly</w:t>
      </w:r>
      <w:r>
        <w:rPr>
          <w:rStyle w:val="None"/>
          <w:rtl w:val="0"/>
          <w:lang w:val="en-US"/>
        </w:rPr>
        <w:t>, pp. 1-76, cont.</w:t>
      </w:r>
    </w:p>
    <w:p>
      <w:pPr>
        <w:pStyle w:val="Body A"/>
        <w:jc w:val="both"/>
        <w:rPr>
          <w:rStyle w:val="None A"/>
          <w:lang w:val="en-US"/>
        </w:rPr>
      </w:pPr>
      <w:r>
        <w:rPr>
          <w:rStyle w:val="None"/>
          <w:rtl w:val="0"/>
          <w:lang w:val="en-US"/>
        </w:rPr>
        <w:t>Mon. Jan. 26 - No class</w:t>
      </w:r>
    </w:p>
    <w:p>
      <w:pPr>
        <w:pStyle w:val="Body A"/>
        <w:jc w:val="both"/>
        <w:rPr>
          <w:rStyle w:val="None A"/>
        </w:rPr>
      </w:pPr>
      <w:r>
        <w:rPr>
          <w:rStyle w:val="None"/>
          <w:rtl w:val="0"/>
          <w:lang w:val="en-US"/>
        </w:rPr>
        <w:t xml:space="preserve">Wed. Jan. 28 </w:t>
      </w:r>
      <w:r>
        <w:rPr>
          <w:rStyle w:val="None"/>
          <w:rtl w:val="0"/>
          <w:lang w:val="de-DE"/>
        </w:rPr>
        <w:t>–</w:t>
      </w:r>
      <w:r>
        <w:rPr>
          <w:rStyle w:val="None"/>
          <w:rtl w:val="0"/>
          <w:lang w:val="en-US"/>
        </w:rPr>
        <w:t xml:space="preserve"> No class</w:t>
      </w:r>
    </w:p>
    <w:p>
      <w:pPr>
        <w:pStyle w:val="Body A"/>
        <w:jc w:val="both"/>
        <w:rPr>
          <w:rStyle w:val="None"/>
          <w:i w:val="1"/>
          <w:iCs w:val="1"/>
        </w:rPr>
      </w:pPr>
      <w:r>
        <w:rPr>
          <w:rStyle w:val="None"/>
          <w:rtl w:val="0"/>
          <w:lang w:val="en-US"/>
        </w:rPr>
        <w:t xml:space="preserve">Fri. Jan. 30 </w:t>
      </w:r>
      <w:r>
        <w:rPr>
          <w:rStyle w:val="None"/>
          <w:rtl w:val="0"/>
          <w:lang w:val="de-DE"/>
        </w:rPr>
        <w:t>–</w:t>
      </w:r>
      <w:r>
        <w:rPr>
          <w:rStyle w:val="None"/>
          <w:rtl w:val="0"/>
          <w:lang w:val="en-US"/>
        </w:rPr>
        <w:t xml:space="preserve"> No class </w:t>
      </w:r>
    </w:p>
    <w:p>
      <w:pPr>
        <w:pStyle w:val="Body A"/>
        <w:jc w:val="both"/>
      </w:pPr>
      <w:r>
        <w:rPr>
          <w:rStyle w:val="None"/>
          <w:rtl w:val="0"/>
          <w:lang w:val="en-US"/>
        </w:rPr>
        <w:t xml:space="preserve">Mon. Feb. 2 </w:t>
      </w:r>
      <w:r>
        <w:rPr>
          <w:rStyle w:val="None"/>
          <w:rtl w:val="0"/>
          <w:lang w:val="de-DE"/>
        </w:rPr>
        <w:t>–</w:t>
      </w:r>
      <w:r>
        <w:rPr>
          <w:rStyle w:val="None"/>
          <w:rtl w:val="0"/>
          <w:lang w:val="en-US"/>
        </w:rPr>
        <w:t xml:space="preserve"> Erasmus, </w:t>
      </w:r>
      <w:r>
        <w:rPr>
          <w:rStyle w:val="None"/>
          <w:i w:val="1"/>
          <w:iCs w:val="1"/>
          <w:rtl w:val="0"/>
          <w:lang w:val="en-US"/>
        </w:rPr>
        <w:t>Praise of Folly</w:t>
      </w:r>
      <w:r>
        <w:rPr>
          <w:rStyle w:val="None"/>
          <w:rtl w:val="0"/>
          <w:lang w:val="en-US"/>
        </w:rPr>
        <w:t>, pp. 76-115</w:t>
      </w:r>
    </w:p>
    <w:p>
      <w:pPr>
        <w:pStyle w:val="Body A"/>
        <w:jc w:val="both"/>
        <w:rPr>
          <w:rStyle w:val="None A"/>
        </w:rPr>
      </w:pPr>
      <w:r>
        <w:rPr>
          <w:rStyle w:val="None"/>
          <w:rtl w:val="0"/>
          <w:lang w:val="en-US"/>
        </w:rPr>
        <w:t xml:space="preserve">Wed. Feb. 5 </w:t>
      </w:r>
      <w:r>
        <w:rPr>
          <w:rStyle w:val="None"/>
          <w:rtl w:val="0"/>
          <w:lang w:val="de-DE"/>
        </w:rPr>
        <w:t>–</w:t>
      </w:r>
      <w:r>
        <w:rPr>
          <w:rStyle w:val="None"/>
          <w:rtl w:val="0"/>
          <w:lang w:val="en-US"/>
        </w:rPr>
        <w:t xml:space="preserve"> Erasmus, </w:t>
      </w:r>
      <w:r>
        <w:rPr>
          <w:rStyle w:val="None"/>
          <w:i w:val="1"/>
          <w:iCs w:val="1"/>
          <w:rtl w:val="0"/>
          <w:lang w:val="en-US"/>
        </w:rPr>
        <w:t>Praise of Folly</w:t>
      </w:r>
      <w:r>
        <w:rPr>
          <w:rStyle w:val="None"/>
          <w:rtl w:val="0"/>
          <w:lang w:val="en-US"/>
        </w:rPr>
        <w:t>, pp. 115-137</w:t>
      </w:r>
    </w:p>
    <w:p>
      <w:pPr>
        <w:pStyle w:val="Body A"/>
        <w:jc w:val="both"/>
      </w:pPr>
      <w:r>
        <w:rPr>
          <w:rStyle w:val="None"/>
          <w:rtl w:val="0"/>
          <w:lang w:val="en-US"/>
        </w:rPr>
        <w:t xml:space="preserve">Fri. Feb. 7 </w:t>
      </w:r>
      <w:r>
        <w:rPr>
          <w:rStyle w:val="None"/>
          <w:rtl w:val="0"/>
          <w:lang w:val="de-DE"/>
        </w:rPr>
        <w:t>–</w:t>
      </w:r>
      <w:r>
        <w:rPr>
          <w:rStyle w:val="None"/>
          <w:rtl w:val="0"/>
          <w:lang w:val="en-US"/>
        </w:rPr>
        <w:t xml:space="preserve"> Review and catch-up</w:t>
      </w:r>
    </w:p>
    <w:p>
      <w:pPr>
        <w:pStyle w:val="Body A"/>
        <w:jc w:val="both"/>
        <w:rPr>
          <w:lang w:val="en-US"/>
        </w:rPr>
      </w:pPr>
      <w:r>
        <w:rPr>
          <w:rStyle w:val="None"/>
          <w:rtl w:val="0"/>
          <w:lang w:val="en-US"/>
        </w:rPr>
        <w:t xml:space="preserve">Mon. Feb. 9 </w:t>
      </w:r>
      <w:r>
        <w:rPr>
          <w:rStyle w:val="None"/>
          <w:rtl w:val="0"/>
          <w:lang w:val="en-US"/>
        </w:rPr>
        <w:t xml:space="preserve">– </w:t>
      </w:r>
      <w:r>
        <w:rPr>
          <w:rStyle w:val="None"/>
          <w:rtl w:val="0"/>
          <w:lang w:val="en-US"/>
        </w:rPr>
        <w:t xml:space="preserve">Machiavelli, </w:t>
      </w:r>
      <w:r>
        <w:rPr>
          <w:rStyle w:val="None"/>
          <w:i w:val="1"/>
          <w:iCs w:val="1"/>
          <w:rtl w:val="0"/>
          <w:lang w:val="en-US"/>
        </w:rPr>
        <w:t>The Prince</w:t>
      </w:r>
      <w:r>
        <w:rPr>
          <w:rStyle w:val="None"/>
          <w:rtl w:val="0"/>
          <w:lang w:val="en-US"/>
        </w:rPr>
        <w:t>, chs. 1-13</w:t>
      </w:r>
    </w:p>
    <w:p>
      <w:pPr>
        <w:pStyle w:val="Body A"/>
        <w:jc w:val="both"/>
        <w:rPr>
          <w:rStyle w:val="None A"/>
        </w:rPr>
      </w:pPr>
      <w:r>
        <w:rPr>
          <w:rStyle w:val="None"/>
          <w:rtl w:val="0"/>
          <w:lang w:val="en-US"/>
        </w:rPr>
        <w:t xml:space="preserve">Wed. Feb. 11 </w:t>
      </w:r>
      <w:r>
        <w:rPr>
          <w:rStyle w:val="None"/>
          <w:rtl w:val="0"/>
          <w:lang w:val="en-US"/>
        </w:rPr>
        <w:t xml:space="preserve">– </w:t>
      </w:r>
      <w:r>
        <w:rPr>
          <w:rStyle w:val="None"/>
          <w:rtl w:val="0"/>
          <w:lang w:val="en-US"/>
        </w:rPr>
        <w:t xml:space="preserve">Machiavelli, </w:t>
      </w:r>
      <w:r>
        <w:rPr>
          <w:rStyle w:val="None"/>
          <w:i w:val="1"/>
          <w:iCs w:val="1"/>
          <w:rtl w:val="0"/>
          <w:lang w:val="en-US"/>
        </w:rPr>
        <w:t>The Prince</w:t>
      </w:r>
      <w:r>
        <w:rPr>
          <w:rStyle w:val="None"/>
          <w:rtl w:val="0"/>
          <w:lang w:val="it-IT"/>
        </w:rPr>
        <w:t>, chs. 1</w:t>
      </w:r>
      <w:r>
        <w:rPr>
          <w:rStyle w:val="None"/>
          <w:rtl w:val="0"/>
          <w:lang w:val="en-US"/>
        </w:rPr>
        <w:t>4-26</w:t>
      </w:r>
    </w:p>
    <w:p>
      <w:pPr>
        <w:pStyle w:val="Body A"/>
        <w:ind w:left="720" w:hanging="720"/>
        <w:jc w:val="both"/>
        <w:rPr>
          <w:rStyle w:val="None A"/>
          <w:lang w:val="en-US"/>
        </w:rPr>
      </w:pPr>
      <w:r>
        <w:rPr>
          <w:rStyle w:val="None"/>
          <w:rtl w:val="0"/>
          <w:lang w:val="en-US"/>
        </w:rPr>
        <w:t xml:space="preserve">Fri. Feb. 13 </w:t>
      </w:r>
      <w:r>
        <w:rPr>
          <w:rStyle w:val="None"/>
          <w:rtl w:val="0"/>
          <w:lang w:val="en-US"/>
        </w:rPr>
        <w:t xml:space="preserve">– </w:t>
      </w:r>
      <w:r>
        <w:rPr>
          <w:rStyle w:val="None"/>
          <w:rtl w:val="0"/>
          <w:lang w:val="en-US"/>
        </w:rPr>
        <w:t>Review and catch-up</w:t>
      </w:r>
    </w:p>
    <w:p>
      <w:pPr>
        <w:pStyle w:val="Body A"/>
        <w:ind w:left="720" w:hanging="720"/>
        <w:jc w:val="both"/>
      </w:pPr>
      <w:r>
        <w:rPr>
          <w:rStyle w:val="None"/>
          <w:rtl w:val="0"/>
          <w:lang w:val="en-US"/>
        </w:rPr>
        <w:t>Mon. Feb. 16</w:t>
      </w:r>
      <w:r>
        <w:rPr>
          <w:rStyle w:val="None"/>
          <w:rtl w:val="0"/>
          <w:lang w:val="de-DE"/>
        </w:rPr>
        <w:t xml:space="preserve"> –</w:t>
      </w:r>
      <w:r>
        <w:rPr>
          <w:rStyle w:val="None"/>
          <w:rtl w:val="0"/>
          <w:lang w:val="en-US"/>
        </w:rPr>
        <w:t xml:space="preserve"> Castiglione, </w:t>
      </w:r>
      <w:r>
        <w:rPr>
          <w:rStyle w:val="None"/>
          <w:i w:val="1"/>
          <w:iCs w:val="1"/>
          <w:rtl w:val="0"/>
          <w:lang w:val="en-US"/>
        </w:rPr>
        <w:t>Book of the Courtier</w:t>
      </w:r>
      <w:r>
        <w:rPr>
          <w:rStyle w:val="None"/>
          <w:rtl w:val="0"/>
          <w:lang w:val="en-US"/>
        </w:rPr>
        <w:t>, Bk I, pp. 31-69</w:t>
      </w:r>
    </w:p>
    <w:p>
      <w:pPr>
        <w:pStyle w:val="Body A"/>
        <w:jc w:val="both"/>
        <w:rPr>
          <w:rStyle w:val="None A"/>
        </w:rPr>
      </w:pPr>
      <w:r>
        <w:rPr>
          <w:rStyle w:val="None"/>
          <w:rtl w:val="0"/>
          <w:lang w:val="en-US"/>
        </w:rPr>
        <w:t xml:space="preserve">Wed. Feb. 18 </w:t>
      </w:r>
      <w:r>
        <w:rPr>
          <w:rStyle w:val="None"/>
          <w:rtl w:val="0"/>
          <w:lang w:val="de-DE"/>
        </w:rPr>
        <w:t>–</w:t>
      </w:r>
      <w:r>
        <w:rPr>
          <w:rStyle w:val="None"/>
          <w:rtl w:val="0"/>
          <w:lang w:val="en-US"/>
        </w:rPr>
        <w:t xml:space="preserve"> Castiglione, </w:t>
      </w:r>
      <w:r>
        <w:rPr>
          <w:rStyle w:val="None"/>
          <w:i w:val="1"/>
          <w:iCs w:val="1"/>
          <w:rtl w:val="0"/>
          <w:lang w:val="en-US"/>
        </w:rPr>
        <w:t>Book of the Courtier</w:t>
      </w:r>
      <w:r>
        <w:rPr>
          <w:rStyle w:val="None"/>
          <w:rtl w:val="0"/>
          <w:lang w:val="en-US"/>
        </w:rPr>
        <w:t>, Bk I, pp. 69-104</w:t>
      </w:r>
    </w:p>
    <w:p>
      <w:pPr>
        <w:pStyle w:val="Body A"/>
        <w:jc w:val="both"/>
        <w:rPr>
          <w:rStyle w:val="None"/>
          <w:i w:val="1"/>
          <w:iCs w:val="1"/>
        </w:rPr>
      </w:pPr>
      <w:r>
        <w:rPr>
          <w:rStyle w:val="None"/>
          <w:rtl w:val="0"/>
          <w:lang w:val="en-US"/>
        </w:rPr>
        <w:t xml:space="preserve">Fri. Feb. 20 </w:t>
      </w:r>
      <w:r>
        <w:rPr>
          <w:rStyle w:val="None"/>
          <w:rtl w:val="0"/>
          <w:lang w:val="de-DE"/>
        </w:rPr>
        <w:t>–</w:t>
      </w:r>
      <w:r>
        <w:rPr>
          <w:rStyle w:val="None"/>
          <w:rtl w:val="0"/>
          <w:lang w:val="en-US"/>
        </w:rPr>
        <w:t xml:space="preserve"> Castiglione, </w:t>
      </w:r>
      <w:r>
        <w:rPr>
          <w:rStyle w:val="None"/>
          <w:i w:val="1"/>
          <w:iCs w:val="1"/>
          <w:rtl w:val="0"/>
          <w:lang w:val="en-US"/>
        </w:rPr>
        <w:t>Book of the Courtier</w:t>
      </w:r>
      <w:r>
        <w:rPr>
          <w:rStyle w:val="None"/>
          <w:rtl w:val="0"/>
          <w:lang w:val="en-US"/>
        </w:rPr>
        <w:t>, Bk II, pp. 107-161</w:t>
      </w:r>
    </w:p>
    <w:p>
      <w:pPr>
        <w:pStyle w:val="Body A"/>
        <w:jc w:val="both"/>
        <w:rPr>
          <w:rStyle w:val="None A"/>
        </w:rPr>
      </w:pPr>
      <w:r>
        <w:rPr>
          <w:rStyle w:val="None"/>
          <w:rtl w:val="0"/>
          <w:lang w:val="en-US"/>
        </w:rPr>
        <w:t xml:space="preserve">Mon. Feb. 23 </w:t>
      </w:r>
      <w:r>
        <w:rPr>
          <w:rStyle w:val="None"/>
          <w:rtl w:val="0"/>
          <w:lang w:val="de-DE"/>
        </w:rPr>
        <w:t>–</w:t>
      </w:r>
      <w:r>
        <w:rPr>
          <w:rStyle w:val="None"/>
          <w:rtl w:val="0"/>
          <w:lang w:val="en-US"/>
        </w:rPr>
        <w:t xml:space="preserve"> Castiglione, </w:t>
      </w:r>
      <w:r>
        <w:rPr>
          <w:rStyle w:val="None"/>
          <w:i w:val="1"/>
          <w:iCs w:val="1"/>
          <w:rtl w:val="0"/>
          <w:lang w:val="en-US"/>
        </w:rPr>
        <w:t>Book of the Courtier</w:t>
      </w:r>
      <w:r>
        <w:rPr>
          <w:rStyle w:val="None"/>
          <w:rtl w:val="0"/>
          <w:lang w:val="en-US"/>
        </w:rPr>
        <w:t>, Bk II, pp. 161-203</w:t>
      </w:r>
    </w:p>
    <w:p>
      <w:pPr>
        <w:pStyle w:val="Body A"/>
        <w:jc w:val="both"/>
        <w:rPr>
          <w:rStyle w:val="None A"/>
        </w:rPr>
      </w:pPr>
      <w:r>
        <w:rPr>
          <w:rStyle w:val="None"/>
          <w:rtl w:val="0"/>
          <w:lang w:val="en-US"/>
        </w:rPr>
        <w:t xml:space="preserve">Wed.. Feb. 25 </w:t>
      </w:r>
      <w:r>
        <w:rPr>
          <w:rStyle w:val="None"/>
          <w:rtl w:val="0"/>
          <w:lang w:val="de-DE"/>
        </w:rPr>
        <w:t>–</w:t>
      </w:r>
      <w:r>
        <w:rPr>
          <w:rStyle w:val="None"/>
          <w:rtl w:val="0"/>
          <w:lang w:val="en-US"/>
        </w:rPr>
        <w:t xml:space="preserve"> Castiglione, </w:t>
      </w:r>
      <w:r>
        <w:rPr>
          <w:rStyle w:val="None"/>
          <w:i w:val="1"/>
          <w:iCs w:val="1"/>
          <w:rtl w:val="0"/>
          <w:lang w:val="en-US"/>
        </w:rPr>
        <w:t>Book of the Courtier</w:t>
      </w:r>
      <w:r>
        <w:rPr>
          <w:rStyle w:val="None"/>
          <w:rtl w:val="0"/>
          <w:lang w:val="en-US"/>
        </w:rPr>
        <w:t>, Bk III, pp. 207-243</w:t>
      </w:r>
    </w:p>
    <w:p>
      <w:pPr>
        <w:pStyle w:val="Body A"/>
        <w:jc w:val="both"/>
        <w:rPr>
          <w:rStyle w:val="None A"/>
        </w:rPr>
      </w:pPr>
      <w:r>
        <w:rPr>
          <w:rStyle w:val="None"/>
          <w:rtl w:val="0"/>
          <w:lang w:val="en-US"/>
        </w:rPr>
        <w:t xml:space="preserve">Fri. Feb. 27 </w:t>
      </w:r>
      <w:r>
        <w:rPr>
          <w:rStyle w:val="None"/>
          <w:rtl w:val="0"/>
          <w:lang w:val="de-DE"/>
        </w:rPr>
        <w:t>–</w:t>
      </w:r>
      <w:r>
        <w:rPr>
          <w:rStyle w:val="None"/>
          <w:rtl w:val="0"/>
          <w:lang w:val="en-US"/>
        </w:rPr>
        <w:t xml:space="preserve"> Castiglione, </w:t>
      </w:r>
      <w:r>
        <w:rPr>
          <w:rStyle w:val="None"/>
          <w:i w:val="1"/>
          <w:iCs w:val="1"/>
          <w:rtl w:val="0"/>
          <w:lang w:val="en-US"/>
        </w:rPr>
        <w:t>Book of the Courtier</w:t>
      </w:r>
      <w:r>
        <w:rPr>
          <w:rStyle w:val="None"/>
          <w:rtl w:val="0"/>
          <w:lang w:val="en-US"/>
        </w:rPr>
        <w:t>, Bk III, pp. 243-278</w:t>
      </w:r>
    </w:p>
    <w:p>
      <w:pPr>
        <w:pStyle w:val="Body A"/>
        <w:jc w:val="both"/>
        <w:rPr>
          <w:rStyle w:val="None A"/>
        </w:rPr>
      </w:pPr>
      <w:r>
        <w:rPr>
          <w:rStyle w:val="None"/>
          <w:rtl w:val="0"/>
          <w:lang w:val="en-US"/>
        </w:rPr>
        <w:t xml:space="preserve">Mon. Mar. 2 </w:t>
      </w:r>
      <w:r>
        <w:rPr>
          <w:rStyle w:val="None"/>
          <w:rtl w:val="0"/>
          <w:lang w:val="de-DE"/>
        </w:rPr>
        <w:t>–</w:t>
      </w:r>
      <w:r>
        <w:rPr>
          <w:rStyle w:val="None"/>
          <w:rtl w:val="0"/>
          <w:lang w:val="en-US"/>
        </w:rPr>
        <w:t xml:space="preserve"> Castiglione, </w:t>
      </w:r>
      <w:r>
        <w:rPr>
          <w:rStyle w:val="None"/>
          <w:i w:val="1"/>
          <w:iCs w:val="1"/>
          <w:rtl w:val="0"/>
          <w:lang w:val="en-US"/>
        </w:rPr>
        <w:t>Book of the Courtier</w:t>
      </w:r>
      <w:r>
        <w:rPr>
          <w:rStyle w:val="None"/>
          <w:rtl w:val="0"/>
          <w:lang w:val="en-US"/>
        </w:rPr>
        <w:t>, Bk IV, pp. 281-315</w:t>
      </w:r>
    </w:p>
    <w:p>
      <w:pPr>
        <w:pStyle w:val="Body A"/>
        <w:jc w:val="both"/>
        <w:rPr>
          <w:rStyle w:val="None A"/>
        </w:rPr>
      </w:pPr>
      <w:r>
        <w:rPr>
          <w:rStyle w:val="None"/>
          <w:rtl w:val="0"/>
          <w:lang w:val="en-US"/>
        </w:rPr>
        <w:t xml:space="preserve">Wed. Mar. 4 </w:t>
      </w:r>
      <w:r>
        <w:rPr>
          <w:rStyle w:val="None"/>
          <w:rtl w:val="0"/>
          <w:lang w:val="de-DE"/>
        </w:rPr>
        <w:t>–</w:t>
      </w:r>
      <w:r>
        <w:rPr>
          <w:rStyle w:val="None"/>
          <w:rtl w:val="0"/>
          <w:lang w:val="en-US"/>
        </w:rPr>
        <w:t xml:space="preserve"> Castiglione, </w:t>
      </w:r>
      <w:r>
        <w:rPr>
          <w:rStyle w:val="None"/>
          <w:i w:val="1"/>
          <w:iCs w:val="1"/>
          <w:rtl w:val="0"/>
          <w:lang w:val="en-US"/>
        </w:rPr>
        <w:t>Book of the Courtier</w:t>
      </w:r>
      <w:r>
        <w:rPr>
          <w:rStyle w:val="None"/>
          <w:rtl w:val="0"/>
          <w:lang w:val="en-US"/>
        </w:rPr>
        <w:t>, Bk IV, pp. 315-345</w:t>
      </w:r>
    </w:p>
    <w:p>
      <w:pPr>
        <w:pStyle w:val="Body A"/>
        <w:jc w:val="both"/>
        <w:rPr>
          <w:rStyle w:val="None A"/>
        </w:rPr>
      </w:pPr>
      <w:r>
        <w:rPr>
          <w:rStyle w:val="None"/>
          <w:rtl w:val="0"/>
          <w:lang w:val="en-US"/>
        </w:rPr>
        <w:t xml:space="preserve">Fri. Mar. 6 </w:t>
      </w:r>
      <w:r>
        <w:rPr>
          <w:rStyle w:val="None"/>
          <w:rtl w:val="0"/>
          <w:lang w:val="de-DE"/>
        </w:rPr>
        <w:t>–</w:t>
      </w:r>
      <w:r>
        <w:rPr>
          <w:rStyle w:val="None"/>
          <w:rtl w:val="0"/>
          <w:lang w:val="en-US"/>
        </w:rPr>
        <w:t xml:space="preserve"> Review and catch-up</w:t>
      </w:r>
    </w:p>
    <w:p>
      <w:pPr>
        <w:pStyle w:val="Body A"/>
        <w:ind w:left="720" w:hanging="720"/>
        <w:jc w:val="both"/>
        <w:rPr>
          <w:rStyle w:val="None A"/>
        </w:rPr>
      </w:pPr>
      <w:r>
        <w:rPr>
          <w:rStyle w:val="None"/>
          <w:rtl w:val="0"/>
          <w:lang w:val="en-US"/>
        </w:rPr>
        <w:t xml:space="preserve">Mon. Mar. 9 </w:t>
      </w:r>
      <w:r>
        <w:rPr>
          <w:rStyle w:val="None"/>
          <w:rtl w:val="0"/>
          <w:lang w:val="de-DE"/>
        </w:rPr>
        <w:t>–</w:t>
      </w:r>
      <w:r>
        <w:rPr>
          <w:rStyle w:val="None"/>
          <w:rtl w:val="0"/>
          <w:lang w:val="en-US"/>
        </w:rPr>
        <w:t xml:space="preserve"> Petrarch, </w:t>
      </w:r>
      <w:r>
        <w:rPr>
          <w:rStyle w:val="None"/>
          <w:i w:val="1"/>
          <w:iCs w:val="1"/>
          <w:rtl w:val="0"/>
          <w:lang w:val="en-US"/>
        </w:rPr>
        <w:t>Rime</w:t>
      </w:r>
      <w:r>
        <w:rPr>
          <w:rStyle w:val="None"/>
          <w:rtl w:val="0"/>
          <w:lang w:val="en-US"/>
        </w:rPr>
        <w:t xml:space="preserve">, 190; Wyatt, </w:t>
      </w:r>
      <w:r>
        <w:rPr>
          <w:rStyle w:val="None"/>
          <w:rtl w:val="0"/>
          <w:lang w:val="en-US"/>
        </w:rPr>
        <w:t>“</w:t>
      </w:r>
      <w:r>
        <w:rPr>
          <w:rStyle w:val="None"/>
          <w:rtl w:val="0"/>
          <w:lang w:val="en-US"/>
        </w:rPr>
        <w:t>Whoso list to hunt</w:t>
      </w:r>
      <w:r>
        <w:rPr>
          <w:rStyle w:val="None"/>
          <w:rtl w:val="0"/>
          <w:lang w:val="en-US"/>
        </w:rPr>
        <w:t>”</w:t>
      </w:r>
      <w:r>
        <w:rPr>
          <w:rStyle w:val="None"/>
          <w:rtl w:val="0"/>
          <w:lang w:val="en-US"/>
        </w:rPr>
        <w:t xml:space="preserve">; Spenser, </w:t>
      </w:r>
      <w:r>
        <w:rPr>
          <w:rStyle w:val="None"/>
          <w:i w:val="1"/>
          <w:iCs w:val="1"/>
          <w:rtl w:val="0"/>
          <w:lang w:val="en-US"/>
        </w:rPr>
        <w:t>Amoretti</w:t>
      </w:r>
      <w:r>
        <w:rPr>
          <w:rStyle w:val="None"/>
          <w:rtl w:val="0"/>
          <w:lang w:val="en-US"/>
        </w:rPr>
        <w:t>, 67 (</w:t>
      </w:r>
      <w:r>
        <w:rPr>
          <w:rStyle w:val="None"/>
          <w:rtl w:val="0"/>
          <w:lang w:val="en-US"/>
        </w:rPr>
        <w:t>email</w:t>
      </w:r>
      <w:r>
        <w:rPr>
          <w:rStyle w:val="None"/>
          <w:rtl w:val="0"/>
          <w:lang w:val="en-US"/>
        </w:rPr>
        <w:t>)</w:t>
      </w:r>
    </w:p>
    <w:p>
      <w:pPr>
        <w:pStyle w:val="Body A"/>
        <w:jc w:val="both"/>
      </w:pPr>
      <w:r>
        <w:rPr>
          <w:rStyle w:val="None"/>
          <w:rtl w:val="0"/>
          <w:lang w:val="en-US"/>
        </w:rPr>
        <w:t xml:space="preserve">Wed. Mar. 11 </w:t>
      </w:r>
      <w:r>
        <w:rPr>
          <w:rStyle w:val="None"/>
          <w:rtl w:val="0"/>
          <w:lang w:val="de-DE"/>
        </w:rPr>
        <w:t>–</w:t>
      </w:r>
      <w:r>
        <w:rPr>
          <w:rStyle w:val="None"/>
          <w:rtl w:val="0"/>
          <w:lang w:val="en-US"/>
        </w:rPr>
        <w:t xml:space="preserve"> Rabelais, </w:t>
      </w:r>
      <w:r>
        <w:rPr>
          <w:rStyle w:val="None"/>
          <w:i w:val="1"/>
          <w:iCs w:val="1"/>
          <w:rtl w:val="0"/>
          <w:lang w:val="en-US"/>
        </w:rPr>
        <w:t>Gargantua and Pantagruel</w:t>
      </w:r>
      <w:r>
        <w:rPr>
          <w:rStyle w:val="None"/>
          <w:rtl w:val="0"/>
          <w:lang w:val="en-US"/>
        </w:rPr>
        <w:t>, Bk. II, chs. 1-17</w:t>
      </w:r>
    </w:p>
    <w:p>
      <w:pPr>
        <w:pStyle w:val="Body A"/>
        <w:jc w:val="both"/>
      </w:pPr>
      <w:r>
        <w:rPr>
          <w:rStyle w:val="None"/>
          <w:rtl w:val="0"/>
          <w:lang w:val="en-US"/>
        </w:rPr>
        <w:t xml:space="preserve">Fri. Mar. 13 </w:t>
      </w:r>
      <w:r>
        <w:rPr>
          <w:rStyle w:val="None"/>
          <w:rtl w:val="0"/>
          <w:lang w:val="de-DE"/>
        </w:rPr>
        <w:t>–</w:t>
      </w:r>
      <w:r>
        <w:rPr>
          <w:rStyle w:val="None"/>
          <w:rtl w:val="0"/>
          <w:lang w:val="en-US"/>
        </w:rPr>
        <w:t xml:space="preserve"> Rabelais, </w:t>
      </w:r>
      <w:r>
        <w:rPr>
          <w:rStyle w:val="None"/>
          <w:i w:val="1"/>
          <w:iCs w:val="1"/>
          <w:rtl w:val="0"/>
          <w:lang w:val="en-US"/>
        </w:rPr>
        <w:t>Gargantua and Pantagruel</w:t>
      </w:r>
      <w:r>
        <w:rPr>
          <w:rStyle w:val="None"/>
          <w:rtl w:val="0"/>
          <w:lang w:val="en-US"/>
        </w:rPr>
        <w:t>, Bk. II, chs. 17-34</w:t>
      </w:r>
    </w:p>
    <w:p>
      <w:pPr>
        <w:pStyle w:val="Body A"/>
        <w:jc w:val="both"/>
      </w:pPr>
      <w:r>
        <w:rPr>
          <w:rStyle w:val="None"/>
          <w:rtl w:val="0"/>
          <w:lang w:val="en-US"/>
        </w:rPr>
        <w:t xml:space="preserve">Mon. Mar. 16 </w:t>
      </w:r>
      <w:r>
        <w:rPr>
          <w:rStyle w:val="None"/>
          <w:rtl w:val="0"/>
          <w:lang w:val="de-DE"/>
        </w:rPr>
        <w:t>–</w:t>
      </w:r>
      <w:r>
        <w:rPr>
          <w:rStyle w:val="None"/>
          <w:rtl w:val="0"/>
          <w:lang w:val="en-US"/>
        </w:rPr>
        <w:t xml:space="preserve"> Spring break</w:t>
      </w:r>
    </w:p>
    <w:p>
      <w:pPr>
        <w:pStyle w:val="Body A"/>
        <w:jc w:val="both"/>
      </w:pPr>
      <w:r>
        <w:rPr>
          <w:rStyle w:val="None"/>
          <w:rtl w:val="0"/>
          <w:lang w:val="en-US"/>
        </w:rPr>
        <w:t xml:space="preserve">Wed. Mar. 18 </w:t>
      </w:r>
      <w:r>
        <w:rPr>
          <w:rStyle w:val="None"/>
          <w:rtl w:val="0"/>
          <w:lang w:val="de-DE"/>
        </w:rPr>
        <w:t>–</w:t>
      </w:r>
      <w:r>
        <w:rPr>
          <w:rStyle w:val="None"/>
          <w:rtl w:val="0"/>
          <w:lang w:val="en-US"/>
        </w:rPr>
        <w:t xml:space="preserve"> Spring break</w:t>
      </w:r>
    </w:p>
    <w:p>
      <w:pPr>
        <w:pStyle w:val="Body A"/>
        <w:jc w:val="both"/>
      </w:pPr>
      <w:r>
        <w:rPr>
          <w:rStyle w:val="None"/>
          <w:rtl w:val="0"/>
          <w:lang w:val="en-US"/>
        </w:rPr>
        <w:t xml:space="preserve">Fri. Mar. 20 </w:t>
      </w:r>
      <w:r>
        <w:rPr>
          <w:rStyle w:val="None"/>
          <w:rtl w:val="0"/>
          <w:lang w:val="de-DE"/>
        </w:rPr>
        <w:t>–</w:t>
      </w:r>
      <w:r>
        <w:rPr>
          <w:rStyle w:val="None"/>
          <w:rtl w:val="0"/>
          <w:lang w:val="en-US"/>
        </w:rPr>
        <w:t xml:space="preserve"> Spring break</w:t>
      </w:r>
    </w:p>
    <w:p>
      <w:pPr>
        <w:pStyle w:val="Body A"/>
        <w:jc w:val="both"/>
      </w:pPr>
      <w:r>
        <w:rPr>
          <w:rStyle w:val="None"/>
          <w:rtl w:val="0"/>
          <w:lang w:val="en-US"/>
        </w:rPr>
        <w:t xml:space="preserve">Mon. Mar. 23 </w:t>
      </w:r>
      <w:r>
        <w:rPr>
          <w:rStyle w:val="None"/>
          <w:rtl w:val="0"/>
          <w:lang w:val="de-DE"/>
        </w:rPr>
        <w:t>–</w:t>
      </w:r>
      <w:r>
        <w:rPr>
          <w:rStyle w:val="None"/>
          <w:rtl w:val="0"/>
          <w:lang w:val="en-US"/>
        </w:rPr>
        <w:t xml:space="preserve"> Rabelais, </w:t>
      </w:r>
      <w:r>
        <w:rPr>
          <w:rStyle w:val="None"/>
          <w:i w:val="1"/>
          <w:iCs w:val="1"/>
          <w:rtl w:val="0"/>
          <w:lang w:val="en-US"/>
        </w:rPr>
        <w:t>Gargantua and Pantagruel</w:t>
      </w:r>
      <w:r>
        <w:rPr>
          <w:rStyle w:val="None"/>
          <w:rtl w:val="0"/>
          <w:lang w:val="en-US"/>
        </w:rPr>
        <w:t>, Bk. I, chs. 1-18</w:t>
      </w:r>
    </w:p>
    <w:p>
      <w:pPr>
        <w:pStyle w:val="Body A"/>
        <w:jc w:val="both"/>
      </w:pPr>
      <w:r>
        <w:rPr>
          <w:rStyle w:val="None"/>
          <w:rtl w:val="0"/>
          <w:lang w:val="en-US"/>
        </w:rPr>
        <w:t xml:space="preserve">Wed. Mar. 25 </w:t>
      </w:r>
      <w:r>
        <w:rPr>
          <w:rStyle w:val="None"/>
          <w:rtl w:val="0"/>
          <w:lang w:val="de-DE"/>
        </w:rPr>
        <w:t>–</w:t>
      </w:r>
      <w:r>
        <w:rPr>
          <w:rStyle w:val="None"/>
          <w:rtl w:val="0"/>
          <w:lang w:val="en-US"/>
        </w:rPr>
        <w:t xml:space="preserve"> Rabelais, </w:t>
      </w:r>
      <w:r>
        <w:rPr>
          <w:rStyle w:val="None"/>
          <w:i w:val="1"/>
          <w:iCs w:val="1"/>
          <w:rtl w:val="0"/>
          <w:lang w:val="en-US"/>
        </w:rPr>
        <w:t>Gargantua and Pantagruel</w:t>
      </w:r>
      <w:r>
        <w:rPr>
          <w:rStyle w:val="None"/>
          <w:rtl w:val="0"/>
          <w:lang w:val="en-US"/>
        </w:rPr>
        <w:t>, Bk. I, chs. 19-38</w:t>
      </w:r>
    </w:p>
    <w:p>
      <w:pPr>
        <w:pStyle w:val="Body A"/>
        <w:jc w:val="both"/>
      </w:pPr>
      <w:r>
        <w:rPr>
          <w:rStyle w:val="None"/>
          <w:rtl w:val="0"/>
          <w:lang w:val="en-US"/>
        </w:rPr>
        <w:t xml:space="preserve">Fri. Mar. 27 </w:t>
      </w:r>
      <w:r>
        <w:rPr>
          <w:rStyle w:val="None"/>
          <w:rtl w:val="0"/>
          <w:lang w:val="de-DE"/>
        </w:rPr>
        <w:t>–</w:t>
      </w:r>
      <w:r>
        <w:rPr>
          <w:rStyle w:val="None"/>
          <w:rtl w:val="0"/>
          <w:lang w:val="en-US"/>
        </w:rPr>
        <w:t xml:space="preserve"> Rabelais, </w:t>
      </w:r>
      <w:r>
        <w:rPr>
          <w:rStyle w:val="None"/>
          <w:i w:val="1"/>
          <w:iCs w:val="1"/>
          <w:rtl w:val="0"/>
          <w:lang w:val="en-US"/>
        </w:rPr>
        <w:t>Gargantua and Pantagruel</w:t>
      </w:r>
      <w:r>
        <w:rPr>
          <w:rStyle w:val="None"/>
          <w:rtl w:val="0"/>
          <w:lang w:val="en-US"/>
        </w:rPr>
        <w:t>, Bk. I, chs. 39-58</w:t>
      </w:r>
    </w:p>
    <w:p>
      <w:pPr>
        <w:pStyle w:val="Body A"/>
        <w:jc w:val="both"/>
      </w:pPr>
      <w:r>
        <w:rPr>
          <w:rStyle w:val="None"/>
          <w:rtl w:val="0"/>
          <w:lang w:val="en-US"/>
        </w:rPr>
        <w:t xml:space="preserve">Mon. Mar. 30 </w:t>
      </w:r>
      <w:r>
        <w:rPr>
          <w:rStyle w:val="None"/>
          <w:rtl w:val="0"/>
          <w:lang w:val="de-DE"/>
        </w:rPr>
        <w:t>–</w:t>
      </w:r>
      <w:r>
        <w:rPr>
          <w:rStyle w:val="None"/>
          <w:rtl w:val="0"/>
          <w:lang w:val="en-US"/>
        </w:rPr>
        <w:t xml:space="preserve"> Rabelais, </w:t>
      </w:r>
      <w:r>
        <w:rPr>
          <w:rStyle w:val="None"/>
          <w:i w:val="1"/>
          <w:iCs w:val="1"/>
          <w:rtl w:val="0"/>
          <w:lang w:val="en-US"/>
        </w:rPr>
        <w:t>Gargantua and Pantagruel</w:t>
      </w:r>
      <w:r>
        <w:rPr>
          <w:rStyle w:val="None"/>
          <w:rtl w:val="0"/>
          <w:lang w:val="en-US"/>
        </w:rPr>
        <w:t xml:space="preserve">, Bk. III, Prologue-ch. 18 </w:t>
      </w:r>
    </w:p>
    <w:p>
      <w:pPr>
        <w:pStyle w:val="Body A"/>
        <w:ind w:left="720" w:hanging="720"/>
        <w:jc w:val="both"/>
      </w:pPr>
      <w:r>
        <w:rPr>
          <w:rStyle w:val="None"/>
          <w:rtl w:val="0"/>
          <w:lang w:val="en-US"/>
        </w:rPr>
        <w:t xml:space="preserve">Wed. Apr. 1 </w:t>
      </w:r>
      <w:r>
        <w:rPr>
          <w:rStyle w:val="None"/>
          <w:rtl w:val="0"/>
          <w:lang w:val="de-DE"/>
        </w:rPr>
        <w:t>–</w:t>
      </w:r>
      <w:r>
        <w:rPr>
          <w:rStyle w:val="None"/>
          <w:rtl w:val="0"/>
          <w:lang w:val="en-US"/>
        </w:rPr>
        <w:t xml:space="preserve"> Rabelais, </w:t>
      </w:r>
      <w:r>
        <w:rPr>
          <w:rStyle w:val="None"/>
          <w:i w:val="1"/>
          <w:iCs w:val="1"/>
          <w:rtl w:val="0"/>
          <w:lang w:val="en-US"/>
        </w:rPr>
        <w:t>Gargantua and Pantagruel</w:t>
      </w:r>
      <w:r>
        <w:rPr>
          <w:rStyle w:val="None"/>
          <w:rtl w:val="0"/>
          <w:lang w:val="en-US"/>
        </w:rPr>
        <w:t>, Bk. III, chs. 19-36</w:t>
      </w:r>
    </w:p>
    <w:p>
      <w:pPr>
        <w:pStyle w:val="Body A"/>
        <w:ind w:left="720" w:hanging="720"/>
        <w:jc w:val="both"/>
      </w:pPr>
      <w:r>
        <w:rPr>
          <w:rStyle w:val="None"/>
          <w:rtl w:val="0"/>
          <w:lang w:val="en-US"/>
        </w:rPr>
        <w:t xml:space="preserve">Fri. Apr. 3 </w:t>
      </w:r>
      <w:r>
        <w:rPr>
          <w:rStyle w:val="None"/>
          <w:rtl w:val="0"/>
          <w:lang w:val="de-DE"/>
        </w:rPr>
        <w:t>–</w:t>
      </w:r>
      <w:r>
        <w:rPr>
          <w:rStyle w:val="None"/>
          <w:rtl w:val="0"/>
          <w:lang w:val="en-US"/>
        </w:rPr>
        <w:t xml:space="preserve"> Rabelais, </w:t>
      </w:r>
      <w:r>
        <w:rPr>
          <w:rStyle w:val="None"/>
          <w:i w:val="1"/>
          <w:iCs w:val="1"/>
          <w:rtl w:val="0"/>
          <w:lang w:val="en-US"/>
        </w:rPr>
        <w:t>Gargantua and Pantagruel</w:t>
      </w:r>
      <w:r>
        <w:rPr>
          <w:rStyle w:val="None"/>
          <w:rtl w:val="0"/>
          <w:lang w:val="en-US"/>
        </w:rPr>
        <w:t>, Bk. III, chs. 37-52</w:t>
      </w:r>
    </w:p>
    <w:p>
      <w:pPr>
        <w:pStyle w:val="Body A"/>
        <w:ind w:left="720" w:hanging="720"/>
        <w:jc w:val="both"/>
        <w:rPr>
          <w:rStyle w:val="None A"/>
        </w:rPr>
      </w:pPr>
      <w:r>
        <w:rPr>
          <w:rStyle w:val="None"/>
          <w:rtl w:val="0"/>
          <w:lang w:val="en-US"/>
        </w:rPr>
        <w:t xml:space="preserve">Mon. Apr. 6 </w:t>
      </w:r>
      <w:r>
        <w:rPr>
          <w:rStyle w:val="None"/>
          <w:rtl w:val="0"/>
          <w:lang w:val="de-DE"/>
        </w:rPr>
        <w:t>–</w:t>
      </w:r>
      <w:r>
        <w:rPr>
          <w:rStyle w:val="None"/>
          <w:rtl w:val="0"/>
          <w:lang w:val="en-US"/>
        </w:rPr>
        <w:t xml:space="preserve"> Rabelais, </w:t>
      </w:r>
      <w:r>
        <w:rPr>
          <w:rStyle w:val="None"/>
          <w:i w:val="1"/>
          <w:iCs w:val="1"/>
          <w:rtl w:val="0"/>
          <w:lang w:val="en-US"/>
        </w:rPr>
        <w:t>Gargantua and Pantagruel</w:t>
      </w:r>
      <w:r>
        <w:rPr>
          <w:rStyle w:val="None"/>
          <w:rtl w:val="0"/>
          <w:lang w:val="en-US"/>
        </w:rPr>
        <w:t>, Bk. V, chs. 34-48</w:t>
      </w:r>
    </w:p>
    <w:p>
      <w:pPr>
        <w:pStyle w:val="Body A"/>
        <w:ind w:left="720" w:hanging="720"/>
        <w:jc w:val="both"/>
      </w:pPr>
      <w:r>
        <w:rPr>
          <w:rStyle w:val="None"/>
          <w:rtl w:val="0"/>
          <w:lang w:val="en-US"/>
        </w:rPr>
        <w:t xml:space="preserve">Wed. Apr. 8 </w:t>
      </w:r>
      <w:r>
        <w:rPr>
          <w:rStyle w:val="None"/>
          <w:rtl w:val="0"/>
          <w:lang w:val="de-DE"/>
        </w:rPr>
        <w:t>–</w:t>
      </w:r>
      <w:r>
        <w:rPr>
          <w:rStyle w:val="None"/>
          <w:rtl w:val="0"/>
          <w:lang w:val="en-US"/>
        </w:rPr>
        <w:t xml:space="preserve"> Review and catch-up</w:t>
      </w:r>
    </w:p>
    <w:p>
      <w:pPr>
        <w:pStyle w:val="Body A"/>
        <w:jc w:val="both"/>
      </w:pPr>
      <w:r>
        <w:rPr>
          <w:rStyle w:val="None"/>
          <w:rtl w:val="0"/>
          <w:lang w:val="en-US"/>
        </w:rPr>
        <w:t xml:space="preserve">Fri. Apr. 10 </w:t>
      </w:r>
      <w:r>
        <w:rPr>
          <w:rStyle w:val="None"/>
          <w:rtl w:val="0"/>
          <w:lang w:val="de-DE"/>
        </w:rPr>
        <w:t>–</w:t>
      </w:r>
      <w:r>
        <w:rPr>
          <w:rStyle w:val="None"/>
          <w:rtl w:val="0"/>
          <w:lang w:val="en-US"/>
        </w:rPr>
        <w:t xml:space="preserve"> Review and catch-up</w:t>
      </w:r>
    </w:p>
    <w:p>
      <w:pPr>
        <w:pStyle w:val="Body A"/>
        <w:ind w:left="720" w:hanging="720"/>
        <w:jc w:val="both"/>
        <w:rPr>
          <w:rStyle w:val="None A"/>
        </w:rPr>
      </w:pPr>
      <w:r>
        <w:rPr>
          <w:rStyle w:val="None"/>
          <w:rtl w:val="0"/>
          <w:lang w:val="en-US"/>
        </w:rPr>
        <w:t xml:space="preserve">Mon. Apr. 13 </w:t>
      </w:r>
      <w:r>
        <w:rPr>
          <w:rStyle w:val="None"/>
          <w:rtl w:val="0"/>
          <w:lang w:val="de-DE"/>
        </w:rPr>
        <w:t>–</w:t>
      </w:r>
      <w:r>
        <w:rPr>
          <w:rStyle w:val="None"/>
          <w:rtl w:val="0"/>
          <w:lang w:val="en-US"/>
        </w:rPr>
        <w:t xml:space="preserve"> Montaigne, </w:t>
      </w:r>
      <w:r>
        <w:rPr>
          <w:rStyle w:val="None"/>
          <w:i w:val="1"/>
          <w:iCs w:val="1"/>
          <w:rtl w:val="0"/>
          <w:lang w:val="en-US"/>
        </w:rPr>
        <w:t>Essays</w:t>
      </w:r>
      <w:r>
        <w:rPr>
          <w:rStyle w:val="None"/>
          <w:rtl w:val="0"/>
          <w:lang w:val="en-US"/>
        </w:rPr>
        <w:t>, 1.9 (</w:t>
      </w:r>
      <w:r>
        <w:rPr>
          <w:rStyle w:val="None"/>
          <w:rtl w:val="0"/>
          <w:lang w:val="en-US"/>
        </w:rPr>
        <w:t>“</w:t>
      </w:r>
      <w:r>
        <w:rPr>
          <w:rStyle w:val="None"/>
          <w:rtl w:val="0"/>
          <w:lang w:val="en-US"/>
        </w:rPr>
        <w:t>On Idleness</w:t>
      </w:r>
      <w:r>
        <w:rPr>
          <w:rStyle w:val="None"/>
          <w:rtl w:val="0"/>
          <w:lang w:val="en-US"/>
        </w:rPr>
        <w:t>”</w:t>
      </w:r>
      <w:r>
        <w:rPr>
          <w:rStyle w:val="None"/>
          <w:rtl w:val="0"/>
          <w:lang w:val="en-US"/>
        </w:rPr>
        <w:t>), 1.31 (</w:t>
      </w:r>
      <w:r>
        <w:rPr>
          <w:rStyle w:val="None"/>
          <w:rtl w:val="0"/>
          <w:lang w:val="en-US"/>
        </w:rPr>
        <w:t>“</w:t>
      </w:r>
      <w:r>
        <w:rPr>
          <w:rStyle w:val="None"/>
          <w:rtl w:val="0"/>
          <w:lang w:val="en-US"/>
        </w:rPr>
        <w:t>On the Cannibals</w:t>
      </w:r>
      <w:r>
        <w:rPr>
          <w:rStyle w:val="None"/>
          <w:rtl w:val="0"/>
          <w:lang w:val="en-US"/>
        </w:rPr>
        <w:t>”</w:t>
      </w:r>
      <w:r>
        <w:rPr>
          <w:rStyle w:val="None"/>
          <w:rtl w:val="0"/>
          <w:lang w:val="en-US"/>
        </w:rPr>
        <w:t>)</w:t>
      </w:r>
    </w:p>
    <w:p>
      <w:pPr>
        <w:pStyle w:val="Body A"/>
        <w:ind w:left="720" w:hanging="720"/>
        <w:jc w:val="both"/>
        <w:rPr>
          <w:rStyle w:val="None A"/>
        </w:rPr>
      </w:pPr>
      <w:r>
        <w:rPr>
          <w:rStyle w:val="None"/>
          <w:rtl w:val="0"/>
          <w:lang w:val="en-US"/>
        </w:rPr>
        <w:t xml:space="preserve">Wed. Apr. 15 </w:t>
      </w:r>
      <w:r>
        <w:rPr>
          <w:rStyle w:val="None"/>
          <w:rtl w:val="0"/>
          <w:lang w:val="de-DE"/>
        </w:rPr>
        <w:t>–</w:t>
      </w:r>
      <w:r>
        <w:rPr>
          <w:rStyle w:val="None"/>
          <w:rtl w:val="0"/>
          <w:lang w:val="en-US"/>
        </w:rPr>
        <w:t xml:space="preserve"> Montaigne, </w:t>
      </w:r>
      <w:r>
        <w:rPr>
          <w:rStyle w:val="None"/>
          <w:i w:val="1"/>
          <w:iCs w:val="1"/>
          <w:rtl w:val="0"/>
          <w:lang w:val="en-US"/>
        </w:rPr>
        <w:t>Essays</w:t>
      </w:r>
      <w:r>
        <w:rPr>
          <w:rStyle w:val="None"/>
          <w:rtl w:val="0"/>
          <w:lang w:val="en-US"/>
        </w:rPr>
        <w:t>, 3.2 (</w:t>
      </w:r>
      <w:r>
        <w:rPr>
          <w:rStyle w:val="None"/>
          <w:rtl w:val="0"/>
          <w:lang w:val="en-US"/>
        </w:rPr>
        <w:t>“</w:t>
      </w:r>
      <w:r>
        <w:rPr>
          <w:rStyle w:val="None"/>
          <w:rtl w:val="0"/>
          <w:lang w:val="en-US"/>
        </w:rPr>
        <w:t>On Repenting</w:t>
      </w:r>
      <w:r>
        <w:rPr>
          <w:rStyle w:val="None"/>
          <w:rtl w:val="0"/>
          <w:lang w:val="en-US"/>
        </w:rPr>
        <w:t>”</w:t>
      </w:r>
      <w:r>
        <w:rPr>
          <w:rStyle w:val="None"/>
          <w:rtl w:val="0"/>
          <w:lang w:val="en-US"/>
        </w:rPr>
        <w:t>), 3.5 (</w:t>
      </w:r>
      <w:r>
        <w:rPr>
          <w:rStyle w:val="None"/>
          <w:rtl w:val="0"/>
          <w:lang w:val="en-US"/>
        </w:rPr>
        <w:t>“</w:t>
      </w:r>
      <w:r>
        <w:rPr>
          <w:rStyle w:val="None"/>
          <w:rtl w:val="0"/>
          <w:lang w:val="en-US"/>
        </w:rPr>
        <w:t>On . . . Virgil</w:t>
      </w:r>
      <w:r>
        <w:rPr>
          <w:rStyle w:val="None"/>
          <w:rtl w:val="0"/>
          <w:lang w:val="en-US"/>
        </w:rPr>
        <w:t>”</w:t>
      </w:r>
      <w:r>
        <w:rPr>
          <w:rStyle w:val="None"/>
          <w:rtl w:val="0"/>
          <w:lang w:val="en-US"/>
        </w:rPr>
        <w:t>)</w:t>
      </w:r>
    </w:p>
    <w:p>
      <w:pPr>
        <w:pStyle w:val="Body A"/>
        <w:jc w:val="both"/>
        <w:rPr>
          <w:rStyle w:val="None A"/>
        </w:rPr>
      </w:pPr>
      <w:r>
        <w:rPr>
          <w:rStyle w:val="None"/>
          <w:rtl w:val="0"/>
          <w:lang w:val="en-US"/>
        </w:rPr>
        <w:t>Fri. Apr. 17</w:t>
      </w:r>
      <w:r>
        <w:rPr>
          <w:rStyle w:val="None"/>
          <w:rtl w:val="0"/>
          <w:lang w:val="de-DE"/>
        </w:rPr>
        <w:t xml:space="preserve"> –</w:t>
      </w:r>
      <w:r>
        <w:rPr>
          <w:rStyle w:val="None"/>
          <w:rtl w:val="0"/>
          <w:lang w:val="en-US"/>
        </w:rPr>
        <w:t xml:space="preserve"> Montaigne, </w:t>
      </w:r>
      <w:r>
        <w:rPr>
          <w:rStyle w:val="None"/>
          <w:i w:val="1"/>
          <w:iCs w:val="1"/>
          <w:rtl w:val="0"/>
          <w:lang w:val="en-US"/>
        </w:rPr>
        <w:t>Essays</w:t>
      </w:r>
      <w:r>
        <w:rPr>
          <w:rStyle w:val="None"/>
          <w:rtl w:val="0"/>
          <w:lang w:val="en-US"/>
        </w:rPr>
        <w:t>, cont.</w:t>
      </w:r>
    </w:p>
    <w:p>
      <w:pPr>
        <w:pStyle w:val="Body A"/>
        <w:jc w:val="both"/>
        <w:rPr>
          <w:rStyle w:val="None A"/>
        </w:rPr>
      </w:pPr>
      <w:r>
        <w:rPr>
          <w:rStyle w:val="None"/>
          <w:rtl w:val="0"/>
          <w:lang w:val="en-US"/>
        </w:rPr>
        <w:t xml:space="preserve">Mon. </w:t>
      </w:r>
      <w:r>
        <w:rPr>
          <w:rStyle w:val="None"/>
          <w:rtl w:val="0"/>
          <w:lang w:val="de-DE"/>
        </w:rPr>
        <w:t xml:space="preserve">Apr. </w:t>
      </w:r>
      <w:r>
        <w:rPr>
          <w:rStyle w:val="None"/>
          <w:rtl w:val="0"/>
          <w:lang w:val="en-US"/>
        </w:rPr>
        <w:t>20</w:t>
      </w:r>
      <w:r>
        <w:rPr>
          <w:rStyle w:val="None"/>
          <w:rtl w:val="0"/>
          <w:lang w:val="de-DE"/>
        </w:rPr>
        <w:t xml:space="preserve"> –</w:t>
      </w:r>
      <w:r>
        <w:rPr>
          <w:rStyle w:val="None"/>
          <w:rtl w:val="0"/>
          <w:lang w:val="en-US"/>
        </w:rPr>
        <w:t xml:space="preserve"> Montaigne, </w:t>
      </w:r>
      <w:r>
        <w:rPr>
          <w:rStyle w:val="None"/>
          <w:i w:val="1"/>
          <w:iCs w:val="1"/>
          <w:rtl w:val="0"/>
          <w:lang w:val="en-US"/>
        </w:rPr>
        <w:t>Essays</w:t>
      </w:r>
      <w:r>
        <w:rPr>
          <w:rStyle w:val="None"/>
          <w:rtl w:val="0"/>
          <w:lang w:val="en-US"/>
        </w:rPr>
        <w:t>, 3.13 (</w:t>
      </w:r>
      <w:r>
        <w:rPr>
          <w:rStyle w:val="None"/>
          <w:rtl w:val="0"/>
          <w:lang w:val="en-US"/>
        </w:rPr>
        <w:t>“</w:t>
      </w:r>
      <w:r>
        <w:rPr>
          <w:rStyle w:val="None"/>
          <w:rtl w:val="0"/>
          <w:lang w:val="en-US"/>
        </w:rPr>
        <w:t>On Experience</w:t>
      </w:r>
      <w:r>
        <w:rPr>
          <w:rStyle w:val="None"/>
          <w:rtl w:val="0"/>
          <w:lang w:val="en-US"/>
        </w:rPr>
        <w:t>”</w:t>
      </w:r>
      <w:r>
        <w:rPr>
          <w:rStyle w:val="None"/>
          <w:rtl w:val="0"/>
          <w:lang w:val="en-US"/>
        </w:rPr>
        <w:t>)</w:t>
      </w:r>
    </w:p>
    <w:p>
      <w:pPr>
        <w:pStyle w:val="Body A"/>
        <w:jc w:val="both"/>
        <w:rPr>
          <w:rStyle w:val="None A"/>
        </w:rPr>
      </w:pPr>
      <w:r>
        <w:rPr>
          <w:rStyle w:val="None"/>
          <w:rtl w:val="0"/>
          <w:lang w:val="en-US"/>
        </w:rPr>
        <w:t xml:space="preserve">Wed. Apr. 22 </w:t>
      </w:r>
      <w:r>
        <w:rPr>
          <w:rStyle w:val="None"/>
          <w:rtl w:val="0"/>
          <w:lang w:val="de-DE"/>
        </w:rPr>
        <w:t>–</w:t>
      </w:r>
      <w:r>
        <w:rPr>
          <w:rStyle w:val="None"/>
          <w:rtl w:val="0"/>
          <w:lang w:val="en-US"/>
        </w:rPr>
        <w:t xml:space="preserve"> Montaigne, </w:t>
      </w:r>
      <w:r>
        <w:rPr>
          <w:rStyle w:val="None"/>
          <w:i w:val="1"/>
          <w:iCs w:val="1"/>
          <w:rtl w:val="0"/>
          <w:lang w:val="en-US"/>
        </w:rPr>
        <w:t>Essays</w:t>
      </w:r>
      <w:r>
        <w:rPr>
          <w:rStyle w:val="None"/>
          <w:rtl w:val="0"/>
          <w:lang w:val="en-US"/>
        </w:rPr>
        <w:t>, 3.13, cont.</w:t>
      </w:r>
    </w:p>
    <w:p>
      <w:pPr>
        <w:pStyle w:val="Body A"/>
        <w:jc w:val="both"/>
        <w:rPr>
          <w:rStyle w:val="None A"/>
        </w:rPr>
      </w:pPr>
    </w:p>
    <w:p>
      <w:pPr>
        <w:pStyle w:val="Body A"/>
        <w:jc w:val="both"/>
      </w:pPr>
    </w:p>
    <w:p>
      <w:pPr>
        <w:pStyle w:val="Body A"/>
        <w:jc w:val="both"/>
        <w:rPr>
          <w:rStyle w:val="None"/>
          <w:i w:val="1"/>
          <w:iCs w:val="1"/>
          <w:lang w:val="en-US"/>
        </w:rPr>
      </w:pPr>
      <w:r>
        <w:rPr>
          <w:rStyle w:val="None"/>
          <w:i w:val="1"/>
          <w:iCs w:val="1"/>
          <w:rtl w:val="0"/>
          <w:lang w:val="en-US"/>
        </w:rPr>
        <w:t>Course Objectives</w:t>
      </w:r>
    </w:p>
    <w:p>
      <w:pPr>
        <w:pStyle w:val="Body A"/>
        <w:jc w:val="both"/>
        <w:rPr>
          <w:rStyle w:val="None A"/>
        </w:rPr>
      </w:pPr>
    </w:p>
    <w:p>
      <w:pPr>
        <w:pStyle w:val="Body A"/>
        <w:jc w:val="both"/>
        <w:rPr>
          <w:rStyle w:val="None"/>
          <w:lang w:val="en-US"/>
        </w:rPr>
      </w:pPr>
      <w:r>
        <w:rPr>
          <w:rStyle w:val="None"/>
          <w:rtl w:val="0"/>
          <w:lang w:val="en-US"/>
        </w:rPr>
        <w:t xml:space="preserve">This Honors Seminar will introduce students to some of the classic texts and authors of the Renaissance period, both in Italy and in northern Europe. Major issues to be considered include the relation of classical and Christian culture, the impact of the Protestant Reformation, the reaction against medieval scholasticism, and emerging concepts of individualism and the self. Although we will be discussing broad themes, our main emphasis will be on a close reading of the assigned works. Weekly one-page response papers will provide opportunities for students to demonstrate skills sufficient to earn </w:t>
      </w:r>
      <w:r>
        <w:rPr>
          <w:rStyle w:val="None"/>
          <w:rtl w:val="0"/>
          <w:lang w:val="en-US"/>
        </w:rPr>
        <w:t>“</w:t>
      </w:r>
      <w:r>
        <w:rPr>
          <w:rStyle w:val="None"/>
          <w:rtl w:val="0"/>
          <w:lang w:val="en-US"/>
        </w:rPr>
        <w:t>clearance for take-off</w:t>
      </w:r>
      <w:r>
        <w:rPr>
          <w:rStyle w:val="None"/>
          <w:rtl w:val="0"/>
          <w:lang w:val="en-US"/>
        </w:rPr>
        <w:t xml:space="preserve">” </w:t>
      </w:r>
      <w:r>
        <w:rPr>
          <w:rStyle w:val="None"/>
          <w:rtl w:val="0"/>
          <w:lang w:val="en-US"/>
        </w:rPr>
        <w:t xml:space="preserve">to write the five-page seminar paper. </w:t>
      </w:r>
    </w:p>
    <w:p>
      <w:pPr>
        <w:pStyle w:val="Body A"/>
        <w:jc w:val="both"/>
        <w:rPr>
          <w:rStyle w:val="None A"/>
        </w:rPr>
      </w:pPr>
    </w:p>
    <w:p>
      <w:pPr>
        <w:pStyle w:val="Body A"/>
        <w:jc w:val="both"/>
        <w:rPr>
          <w:rStyle w:val="None"/>
          <w:i w:val="1"/>
          <w:iCs w:val="1"/>
          <w:lang w:val="en-US"/>
        </w:rPr>
      </w:pPr>
      <w:r>
        <w:rPr>
          <w:rStyle w:val="None"/>
          <w:i w:val="1"/>
          <w:iCs w:val="1"/>
          <w:rtl w:val="0"/>
          <w:lang w:val="en-US"/>
        </w:rPr>
        <w:t>Course Requirements &amp; Evaluation Criteria</w:t>
      </w:r>
    </w:p>
    <w:p>
      <w:pPr>
        <w:pStyle w:val="Body A"/>
        <w:jc w:val="both"/>
        <w:rPr>
          <w:rStyle w:val="None"/>
          <w:i w:val="1"/>
          <w:iCs w:val="1"/>
        </w:rPr>
      </w:pPr>
    </w:p>
    <w:p>
      <w:pPr>
        <w:pStyle w:val="Body B"/>
        <w:jc w:val="both"/>
        <w:rPr>
          <w:rStyle w:val="None A"/>
        </w:rPr>
      </w:pPr>
      <w:r>
        <w:rPr>
          <w:rStyle w:val="None A"/>
          <w:rtl w:val="0"/>
          <w:lang w:val="en-US"/>
        </w:rPr>
        <w:t>Your course grade will be based on the following criteria: class participation (35%), response papers (15%), seminar paper (50%). There are no exams. The response papers don</w:t>
      </w:r>
      <w:r>
        <w:rPr>
          <w:rStyle w:val="None A"/>
          <w:rtl w:val="0"/>
          <w:lang w:val="en-US"/>
        </w:rPr>
        <w:t>’</w:t>
      </w:r>
      <w:r>
        <w:rPr>
          <w:rStyle w:val="None A"/>
          <w:rtl w:val="0"/>
          <w:lang w:val="en-US"/>
        </w:rPr>
        <w:t xml:space="preserve">t need a title page, but otherwise they should follow the guidelines of the Style Sheet.  Once approved to write the seminar paper, you must send me an email with a proposal for your topic and setting forth your thesis.  I will respond and tell you either to go ahead or ask for further clarification before you proceed. </w:t>
      </w:r>
      <w:r>
        <w:rPr>
          <w:rStyle w:val="None"/>
          <w:i w:val="1"/>
          <w:iCs w:val="1"/>
          <w:rtl w:val="0"/>
          <w:lang w:val="en-US"/>
        </w:rPr>
        <w:t>No outside sources may be used without being specified ahead of time and receiving my permission</w:t>
      </w:r>
      <w:r>
        <w:rPr>
          <w:rStyle w:val="None A"/>
          <w:rtl w:val="0"/>
          <w:lang w:val="en-US"/>
        </w:rPr>
        <w:t xml:space="preserve">. Especially since this is an Honors Seminar, I expect regular attendance, and each absence over </w:t>
      </w:r>
      <w:r>
        <w:rPr>
          <w:rStyle w:val="None"/>
          <w:i w:val="1"/>
          <w:iCs w:val="1"/>
          <w:rtl w:val="0"/>
          <w:lang w:val="en-US"/>
        </w:rPr>
        <w:t>three</w:t>
      </w:r>
      <w:r>
        <w:rPr>
          <w:rStyle w:val="None A"/>
          <w:rtl w:val="0"/>
          <w:lang w:val="en-US"/>
        </w:rPr>
        <w:t xml:space="preserve"> may result in a lowering of your course grade by one-half a letter. Course books in the required editions have been ordered at the UF Bookstore. Additional readings will be distributed via </w:t>
      </w:r>
      <w:r>
        <w:rPr>
          <w:rStyle w:val="None A"/>
          <w:rtl w:val="0"/>
          <w:lang w:val="en-US"/>
        </w:rPr>
        <w:t>email</w:t>
      </w:r>
      <w:r>
        <w:rPr>
          <w:rStyle w:val="None A"/>
          <w:rtl w:val="0"/>
          <w:lang w:val="en-US"/>
        </w:rPr>
        <w:t>.</w:t>
      </w:r>
    </w:p>
    <w:p>
      <w:pPr>
        <w:pStyle w:val="Body A"/>
        <w:jc w:val="both"/>
        <w:rPr>
          <w:rStyle w:val="None A"/>
        </w:rPr>
      </w:pPr>
    </w:p>
    <w:p>
      <w:pPr>
        <w:pStyle w:val="Default"/>
        <w:rPr>
          <w:rStyle w:val="None"/>
          <w:rFonts w:ascii="Times New Roman" w:cs="Times New Roman" w:hAnsi="Times New Roman" w:eastAsia="Times New Roman"/>
          <w:i w:val="1"/>
          <w:iCs w:val="1"/>
          <w:sz w:val="24"/>
          <w:szCs w:val="24"/>
        </w:rPr>
      </w:pPr>
      <w:r>
        <w:rPr>
          <w:rStyle w:val="None"/>
          <w:rFonts w:ascii="Times New Roman" w:hAnsi="Times New Roman"/>
          <w:i w:val="1"/>
          <w:iCs w:val="1"/>
          <w:sz w:val="24"/>
          <w:szCs w:val="24"/>
          <w:rtl w:val="0"/>
          <w:lang w:val="en-US"/>
        </w:rPr>
        <w:t>Students with Disabilities</w:t>
      </w:r>
    </w:p>
    <w:p>
      <w:pPr>
        <w:pStyle w:val="Default"/>
        <w:rPr>
          <w:rStyle w:val="None"/>
          <w:rFonts w:ascii="Times New Roman" w:cs="Times New Roman" w:hAnsi="Times New Roman" w:eastAsia="Times New Roman"/>
          <w:sz w:val="24"/>
          <w:szCs w:val="24"/>
        </w:rPr>
      </w:pPr>
    </w:p>
    <w:p>
      <w:pPr>
        <w:pStyle w:val="Default"/>
        <w:jc w:val="both"/>
      </w:pPr>
      <w:r>
        <w:rPr>
          <w:rStyle w:val="None"/>
          <w:rFonts w:ascii="Times New Roman" w:hAnsi="Times New Roman"/>
          <w:sz w:val="24"/>
          <w:szCs w:val="24"/>
          <w:rtl w:val="0"/>
          <w:lang w:val="en-US"/>
        </w:rPr>
        <w:t xml:space="preserve">The Disability Resource Center in the Dean of Students Office provides information and support regarding accommodations for students with disabilities in the classroom.  Staff will assist any student who registers as having </w:t>
      </w:r>
      <w:r>
        <w:rPr>
          <w:rStyle w:val="None"/>
          <w:rFonts w:ascii="Times New Roman" w:hAnsi="Times New Roman"/>
          <w:sz w:val="24"/>
          <w:szCs w:val="24"/>
          <w:rtl w:val="0"/>
          <w:lang w:val="it-IT"/>
        </w:rPr>
        <w:t xml:space="preserve">a disability. </w:t>
      </w:r>
      <w:r>
        <w:rPr>
          <w:rStyle w:val="None"/>
          <w:rFonts w:ascii="Times New Roman" w:hAnsi="Times New Roman"/>
          <w:sz w:val="24"/>
          <w:szCs w:val="24"/>
          <w:rtl w:val="0"/>
          <w:lang w:val="en-US"/>
        </w:rPr>
        <w:t xml:space="preserve"> Official documentation is required to determine eligibility for appropriate classroom accommodations.  For more information about Student </w:t>
      </w:r>
      <w:r>
        <w:rPr>
          <w:rStyle w:val="None"/>
          <w:rFonts w:ascii="Times New Roman" w:hAnsi="Times New Roman"/>
          <w:outline w:val="0"/>
          <w:color w:val="000000"/>
          <w:sz w:val="24"/>
          <w:szCs w:val="24"/>
          <w:u w:color="000000"/>
          <w:rtl w:val="0"/>
          <w:lang w:val="en-US"/>
          <w14:textFill>
            <w14:solidFill>
              <w14:srgbClr w14:val="000000"/>
            </w14:solidFill>
          </w14:textFill>
        </w:rPr>
        <w:t xml:space="preserve">Disability Services, see: </w:t>
      </w:r>
      <w:r>
        <w:rPr>
          <w:rStyle w:val="None"/>
          <w:rFonts w:ascii="Times New Roman" w:hAnsi="Times New Roman"/>
          <w:i w:val="1"/>
          <w:iCs w:val="1"/>
          <w:sz w:val="24"/>
          <w:szCs w:val="24"/>
          <w:rtl w:val="0"/>
          <w:lang w:val="en-US"/>
        </w:rPr>
        <w:t>http://www.ufl.edu/disability/</w:t>
      </w:r>
    </w:p>
    <w:sectPr>
      <w:headerReference w:type="default" r:id="rId4"/>
      <w:footerReference w:type="default" r:id="rId5"/>
      <w:pgSz w:w="12240" w:h="15840" w:orient="portrait"/>
      <w:pgMar w:top="1440" w:right="1800" w:bottom="1440" w:left="180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6"/>
      <w:szCs w:val="26"/>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de-DE"/>
      <w14:textOutline w14:w="12700" w14:cap="flat">
        <w14:noFill/>
        <w14:miter w14:lim="400000"/>
      </w14:textOutline>
      <w14:textFill>
        <w14:solidFill>
          <w14:srgbClr w14:val="000000"/>
        </w14:solidFill>
      </w14:textFill>
    </w:rPr>
  </w:style>
  <w:style w:type="character" w:styleId="None">
    <w:name w:val="None"/>
  </w:style>
  <w:style w:type="character" w:styleId="Hyperlink.0">
    <w:name w:val="Hyperlink.0"/>
    <w:basedOn w:val="None"/>
    <w:next w:val="Hyperlink.0"/>
    <w:rPr>
      <w:outline w:val="0"/>
      <w:color w:val="0000ff"/>
      <w:u w:val="single" w:color="0000ff"/>
      <w14:textFill>
        <w14:solidFill>
          <w14:srgbClr w14:val="0000FF"/>
        </w14:solidFill>
      </w14:textFill>
    </w:rPr>
  </w:style>
  <w:style w:type="character" w:styleId="None A">
    <w:name w:val="None A"/>
    <w:rPr>
      <w:lang w:val="de-DE"/>
    </w:rPr>
  </w:style>
  <w:style w:type="paragraph" w:styleId="Body B">
    <w:name w:val="Body B"/>
    <w:next w:val="Body B"/>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Times New Roman"/>
        <a:ea typeface="Times New Roman"/>
        <a:cs typeface="Times New Roman"/>
      </a:majorFont>
      <a:minorFont>
        <a:latin typeface="Times New Roman"/>
        <a:ea typeface="Times New Roman"/>
        <a:cs typeface="Times New Roman"/>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